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Контролна листа: Поступање произвођача неопасног и инертног отпада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Обавезе </w:t>
      </w: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произвођача</w:t>
      </w: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 неопасног и инертог отпада према Закону о управљању отпадом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val="sr-RS" w:eastAsia="sr-Latn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Табела А: 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 w:eastAsia="sr-Latn-RS"/>
        </w:rPr>
        <w:t>Општи подаци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</w:r>
    </w:p>
    <w:tbl>
      <w:tblPr>
        <w:tblW w:w="1062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5"/>
        <w:gridCol w:w="5304"/>
      </w:tblGrid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Општина и место седишта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Број судског регистрационог улошка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(Попунити за установе)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Назив постројења/активности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Општина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и место постројења/активности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Б: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 xml:space="preserve"> Статус правног лица, предузетника</w:t>
      </w:r>
    </w:p>
    <w:tbl>
      <w:tblPr>
        <w:tblW w:w="1071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34"/>
        <w:gridCol w:w="2975"/>
      </w:tblGrid>
      <w:tr>
        <w:trPr/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*</w:t>
            </w:r>
          </w:p>
        </w:tc>
      </w:tr>
      <w:tr>
        <w:trPr/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mallCaps/>
          <w:sz w:val="24"/>
          <w:szCs w:val="24"/>
          <w:lang w:val="sr-RS" w:eastAsia="x-none"/>
        </w:rPr>
      </w:pPr>
      <w:r>
        <w:rPr>
          <w:rFonts w:eastAsia="Times New Roman" w:cs="Times New Roman" w:ascii="Times New Roman" w:hAnsi="Times New Roman"/>
          <w:iCs/>
          <w:smallCaps/>
          <w:sz w:val="24"/>
          <w:szCs w:val="24"/>
          <w:lang w:val="sr-RS" w:eastAsia="x-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Табела В: Законске обавезе</w:t>
      </w:r>
    </w:p>
    <w:tbl>
      <w:tblPr>
        <w:tblW w:w="10980" w:type="dxa"/>
        <w:jc w:val="center"/>
        <w:tblInd w:w="0" w:type="dxa"/>
        <w:tblCellMar>
          <w:top w:w="0" w:type="dxa"/>
          <w:left w:w="85" w:type="dxa"/>
          <w:bottom w:w="0" w:type="dxa"/>
          <w:right w:w="85" w:type="dxa"/>
        </w:tblCellMar>
        <w:tblLook w:firstRow="0" w:noVBand="0" w:lastRow="0" w:firstColumn="0" w:lastColumn="0" w:noHBand="0" w:val="0000"/>
      </w:tblPr>
      <w:tblGrid>
        <w:gridCol w:w="7"/>
        <w:gridCol w:w="533"/>
        <w:gridCol w:w="6659"/>
        <w:gridCol w:w="3690"/>
        <w:gridCol w:w="91"/>
      </w:tblGrid>
      <w:tr>
        <w:trPr>
          <w:trHeight w:val="323" w:hRule="atLeast"/>
          <w:cantSplit w:val="true"/>
        </w:trPr>
        <w:tc>
          <w:tcPr>
            <w:tcW w:w="1098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А) Документација о отпаду</w:t>
            </w:r>
          </w:p>
        </w:tc>
      </w:tr>
      <w:tr>
        <w:trPr>
          <w:trHeight w:val="440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Да ли је произвођач отпада одредио лице одговорно за управљање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А2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сач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>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нио План управљања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А3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План управљања отпадом садржи све ставке из члана 15. Закона о управљању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А4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Да ли је произвођач отпада извршио ажурирање Плана управљања отпадом у року од три године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Није применљиво 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2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А5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у Плану управљања отпадом извршена класификација отпада према врсти, називу и индексном броју отпада на основу каталога отпада из правилника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А6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Да ли постоји извештај о испитивању отпада према Правилнику о категоријама, испитивању и класификацији отпада из 2010.год. за сваки отпад који, према пореклу, саставу и карактеристикама, може бити опасан отпад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 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21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А7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произвођач отпада поседује Документе о кретању отпада који су потписани од стране примаоца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1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А8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неопасан и инертан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А9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за сваку врсту неопасног и инертног отпада Агенцији за заштиту животне средине достављен Образац ГИО 1 - Годишњи извештај о отпаду произвођача отпада, уношењем у информациони систем Националног регистра извора загађивања и у папирној форми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у року до 31.марта текуће године за претходну годину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А10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произвођач отпада, за све врсте отпада води евиденцију на Обрасцу ДЕО 1-Дневна евиденција о отпаду произвођача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 xml:space="preserve">Б) Привремено складиштење отпада 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отпада и упакованог отпада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који се користи као секундарна сировина обележеног видљиво и јасно, складиште у складишту отвореног или затвореног типа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Б2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отпада и упакованог отпада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који се користи као секундарна сировина, обележеног натписом који садржи назив и седиште или знак произвођача називом и индексним бројем отпада, складиште у складишту које је ограђено и под сталним надзором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1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Б3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ли се све количине отпада који се користи као секундарна сировина или за добијање енергије, складиште у складишту на стабилној и непропусној подлози, са одговарајућом заштитом од атмосферских утицаја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59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Б4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отпада који се користи као секундарна сировина или за добијање енергије, складиште у складишту са системом за потпуни контролисани прихват атмосферске воде са свих манипулативних површина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Б5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отпада у течном стању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Б6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отпада у прашкастом стању, складиште у складишту на начин  којим се обезбеђује заштита од запрашивања околног простора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6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Б7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5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Б8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Да ли се складиштење отпадних уља врши у складишту које има 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танкване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83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Б9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се складиштење отпадних уља врши у складишту које има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Б10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се настали отпад сакупља одвојено и разврстава у складу са потребом будућег третмана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Spacing"/>
              <w:rPr>
                <w:rFonts w:ascii="Times New Roman" w:hAnsi="Times New Roman" w:eastAsia="MS Gothic" w:cs="Times New Roman"/>
                <w:color w:val="FF0000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79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Б11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mbria Math" w:cs="Times New Roman"/>
                <w:sz w:val="24"/>
                <w:szCs w:val="24"/>
                <w:lang w:val="sr-R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се врши мешање неопасног отпада са опасним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53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Б12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се неопасан или инертан отпад одлаже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на депонију која не испуњава техничке, технолошке и друге услове и захтеве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53" w:hRule="atLeast"/>
          <w:cantSplit w:val="true"/>
        </w:trPr>
        <w:tc>
          <w:tcPr>
            <w:tcW w:w="7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Б13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се неопасан или инертан отпад одлаже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на истој локацији заједно са опасним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1" w:type="dxa"/>
            <w:tcBorders/>
            <w:shd w:fill="auto" w:val="clear"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0882" w:type="dxa"/>
        <w:jc w:val="center"/>
        <w:tblInd w:w="0" w:type="dxa"/>
        <w:tblCellMar>
          <w:top w:w="0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592"/>
        <w:gridCol w:w="4009"/>
        <w:gridCol w:w="3281"/>
      </w:tblGrid>
      <w:tr>
        <w:trPr>
          <w:cantSplit w:val="true"/>
        </w:trPr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bookmarkStart w:id="2" w:name="_Toc178427149"/>
            <w:bookmarkEnd w:id="2"/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правног лица, предузетника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друго лице: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>
        <w:trPr>
          <w:cantSplit w:val="true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>
        <w:trPr>
          <w:cantSplit w:val="true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>
          <w:trHeight w:val="282" w:hRule="atLeast"/>
          <w:cantSplit w:val="true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>
          <w:cantSplit w:val="true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36" w:hRule="atLeast"/>
          <w:cantSplit w:val="true"/>
        </w:trPr>
        <w:tc>
          <w:tcPr>
            <w:tcW w:w="10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36" w:hRule="atLeast"/>
          <w:cantSplit w:val="true"/>
        </w:trPr>
        <w:tc>
          <w:tcPr>
            <w:tcW w:w="10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93429797"/>
    </w:sdtPr>
    <w:sdtContent>
      <w:p>
        <w:pPr>
          <w:pStyle w:val="Footer"/>
          <w:jc w:val="right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/3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350"/>
      <w:gridCol w:w="5939"/>
      <w:gridCol w:w="3241"/>
    </w:tblGrid>
    <w:tr>
      <w:trPr>
        <w:trHeight w:val="1088" w:hRule="atLeast"/>
        <w:cantSplit w:val="true"/>
      </w:trPr>
      <w:tc>
        <w:tcPr>
          <w:tcW w:w="1350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en-US"/>
            </w:rPr>
          </w:pPr>
          <w:r>
            <w:rPr/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-10795</wp:posOffset>
                </wp:positionH>
                <wp:positionV relativeFrom="paragraph">
                  <wp:posOffset>31750</wp:posOffset>
                </wp:positionV>
                <wp:extent cx="796290" cy="1027430"/>
                <wp:effectExtent l="0" t="0" r="0" b="0"/>
                <wp:wrapSquare wrapText="largest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3" t="-51" r="-73" b="-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1027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39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 w:before="0" w:after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 w:before="0" w:after="0"/>
            <w:rPr/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Општина Ћићевац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/>
              <w:sz w:val="24"/>
              <w:szCs w:val="24"/>
              <w:lang w:val="sr-RS"/>
            </w:rPr>
          </w:pPr>
          <w:r>
            <w:rPr>
              <w:rFonts w:ascii="Times New Roman" w:hAnsi="Times New Roman"/>
              <w:sz w:val="24"/>
              <w:szCs w:val="24"/>
              <w:lang w:val="sr-R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 xml:space="preserve">Одсек за </w:t>
          </w:r>
          <w:r>
            <w:rPr>
              <w:rFonts w:ascii="Times New Roman" w:hAnsi="Times New Roman"/>
              <w:sz w:val="24"/>
              <w:szCs w:val="24"/>
              <w:lang w:val="sr-RS"/>
            </w:rPr>
            <w:t>урбанизам, грађевинарство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 w:val="false"/>
              <w:bCs w:val="false"/>
              <w:sz w:val="24"/>
              <w:szCs w:val="24"/>
              <w:lang w:val="sr-RS"/>
            </w:rPr>
            <w:t>и инспекцијске</w:t>
          </w:r>
          <w:r>
            <w:rPr>
              <w:rFonts w:eastAsia="Times New Roman" w:cs="Times New Roman" w:ascii="Times New Roman" w:hAnsi="Times New Roman"/>
              <w:b w:val="false"/>
              <w:bCs w:val="false"/>
              <w:sz w:val="24"/>
              <w:szCs w:val="24"/>
              <w:lang w:val="sr-CS"/>
            </w:rPr>
            <w:t xml:space="preserve"> послове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ru-RU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val="ru-RU"/>
            </w:rPr>
            <w:t>Инспекција за заштиту животне средине</w:t>
          </w:r>
        </w:p>
      </w:tc>
      <w:tc>
        <w:tcPr>
          <w:tcW w:w="3241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en-U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en-US"/>
            </w:rPr>
            <w:t>Шифра: КЛ-08-01/03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Датум: 12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04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.2021.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Arial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3f12"/>
    <w:pPr>
      <w:widowControl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eastAsia="en-US" w:val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83ce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3ce3"/>
    <w:rPr/>
  </w:style>
  <w:style w:type="character" w:styleId="BalloonTextChar" w:customStyle="1">
    <w:name w:val="Balloon Text Char"/>
    <w:link w:val="BalloonText"/>
    <w:uiPriority w:val="99"/>
    <w:semiHidden/>
    <w:qFormat/>
    <w:rsid w:val="00db7d16"/>
    <w:rPr>
      <w:rFonts w:ascii="Wingdings" w:hAnsi="Wingdings" w:cs="Wingdings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16485e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16485e"/>
    <w:rPr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16485e"/>
    <w:rPr>
      <w:b/>
      <w:bCs/>
      <w:lang w:eastAsia="en-US"/>
    </w:rPr>
  </w:style>
  <w:style w:type="character" w:styleId="InternetLink">
    <w:name w:val="Internet Link"/>
    <w:uiPriority w:val="99"/>
    <w:unhideWhenUsed/>
    <w:rsid w:val="004d4d3c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d16"/>
    <w:pPr>
      <w:spacing w:lineRule="auto" w:line="240" w:before="0" w:after="0"/>
    </w:pPr>
    <w:rPr>
      <w:rFonts w:ascii="Wingdings" w:hAnsi="Wingdings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9600bd"/>
    <w:pPr>
      <w:spacing w:lineRule="auto" w:line="240" w:before="0" w:after="0"/>
      <w:ind w:left="720" w:hanging="0"/>
    </w:pPr>
    <w:rPr>
      <w:rFonts w:ascii="Calibri" w:hAnsi="Calibri" w:eastAsia="Arial" w:cs="Calibri"/>
      <w:color w:val="000000"/>
      <w:sz w:val="24"/>
      <w:szCs w:val="24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6485e"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6485e"/>
    <w:pPr/>
    <w:rPr>
      <w:b/>
      <w:bCs/>
    </w:rPr>
  </w:style>
  <w:style w:type="paragraph" w:styleId="NoSpacing">
    <w:name w:val="No Spacing"/>
    <w:uiPriority w:val="1"/>
    <w:qFormat/>
    <w:rsid w:val="00c26e21"/>
    <w:pPr>
      <w:widowControl/>
      <w:bidi w:val="0"/>
      <w:spacing w:before="0" w:after="0"/>
      <w:jc w:val="left"/>
    </w:pPr>
    <w:rPr>
      <w:rFonts w:ascii="Verdana" w:hAnsi="Verdana" w:eastAsia="Verdana" w:cs="Arial"/>
      <w:color w:val="auto"/>
      <w:kern w:val="0"/>
      <w:sz w:val="22"/>
      <w:szCs w:val="22"/>
      <w:lang w:eastAsia="en-US" w:val="en-GB" w:bidi="ar-SA"/>
    </w:rPr>
  </w:style>
  <w:style w:type="paragraph" w:styleId="Table">
    <w:name w:val="Table"/>
    <w:basedOn w:val="Caption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b03a7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45AD-7FE8-4681-B953-B0B6B984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LibreOffice/6.3.4.2$Windows_X86_64 LibreOffice_project/60da17e045e08f1793c57c00ba83cdfce946d0aa</Application>
  <Pages>3</Pages>
  <Words>892</Words>
  <Characters>4460</Characters>
  <CharactersWithSpaces>5285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2021-04-07T08:46:00Z</dcterms:created>
  <dc:creator>Jelena Stankovic</dc:creator>
  <dc:description/>
  <dc:language>en-US</dc:language>
  <cp:lastModifiedBy/>
  <cp:lastPrinted>2018-04-03T12:37:00Z</cp:lastPrinted>
  <dcterms:modified xsi:type="dcterms:W3CDTF">2022-08-12T13:35:28Z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